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Travel Chargebacks 2026</w:t>
        <w:br/>
        <w:t>Journalist Fact Sheet</w:t>
      </w:r>
    </w:p>
    <w:p>
      <w:pPr>
        <w:jc w:val="center"/>
      </w:pPr>
      <w:r>
        <w:t>Public-record analysis • Version 1.1 • Updated August 24, 2026</w:t>
      </w:r>
    </w:p>
    <w:p>
      <w:pPr>
        <w:pStyle w:val="Heading1"/>
      </w:pPr>
      <w:r>
        <w:t>What the evidence supports</w:t>
      </w:r>
    </w:p>
    <w:tbl>
      <w:tblPr>
        <w:tblStyle w:val="TableGrid"/>
        <w:tblW w:type="auto" w:w="0"/>
        <w:tblLook w:firstColumn="1" w:firstRow="1" w:lastColumn="0" w:lastRow="0" w:noHBand="0" w:noVBand="1" w:val="04A0"/>
      </w:tblPr>
      <w:tblGrid>
        <w:gridCol w:w="5328"/>
        <w:gridCol w:w="5328"/>
      </w:tblGrid>
      <w:tr>
        <w:trPr>
          <w:tblHeader w:val="true"/>
        </w:trPr>
        <w:tc>
          <w:tcPr>
            <w:tcW w:type="dxa" w:w="6624"/>
          </w:tcPr>
          <w:p>
            <w:r>
              <w:rPr>
                <w:b/>
              </w:rPr>
              <w:t>Finding</w:t>
            </w:r>
          </w:p>
        </w:tc>
        <w:tc>
          <w:tcPr>
            <w:tcW w:type="dxa" w:w="3312"/>
          </w:tcPr>
          <w:p>
            <w:r>
              <w:rPr>
                <w:b/>
              </w:rPr>
              <w:t>Verified scope</w:t>
            </w:r>
          </w:p>
        </w:tc>
      </w:tr>
      <w:tr>
        <w:tc>
          <w:tcPr>
            <w:tcW w:type="dxa" w:w="6624"/>
          </w:tcPr>
          <w:p>
            <w:r>
              <w:t>$9.8 billion - all U.S. credit-card charges disputed in 2024</w:t>
            </w:r>
          </w:p>
        </w:tc>
        <w:tc>
          <w:tcPr>
            <w:tcW w:type="dxa" w:w="3312"/>
          </w:tcPr>
          <w:p>
            <w:r>
              <w:t>CFPB; not travel-only</w:t>
            </w:r>
          </w:p>
        </w:tc>
      </w:tr>
      <w:tr>
        <w:tc>
          <w:tcPr>
            <w:tcW w:type="dxa" w:w="6624"/>
          </w:tcPr>
          <w:p>
            <w:r>
              <w:t>$5.9 billion - all-card chargebacks resulting from 2024 disputes</w:t>
            </w:r>
          </w:p>
        </w:tc>
        <w:tc>
          <w:tcPr>
            <w:tcW w:type="dxa" w:w="3312"/>
          </w:tcPr>
          <w:p>
            <w:r>
              <w:t>CFPB; not travel-only</w:t>
            </w:r>
          </w:p>
        </w:tc>
      </w:tr>
      <w:tr>
        <w:tc>
          <w:tcPr>
            <w:tcW w:type="dxa" w:w="6624"/>
          </w:tcPr>
          <w:p>
            <w:r>
              <w:t>43,184 - air-travel complaint cases in January-June 2026</w:t>
            </w:r>
          </w:p>
        </w:tc>
        <w:tc>
          <w:tcPr>
            <w:tcW w:type="dxa" w:w="3312"/>
          </w:tcPr>
          <w:p>
            <w:r>
              <w:t>DOT; not chargebacks</w:t>
            </w:r>
          </w:p>
        </w:tc>
      </w:tr>
      <w:tr>
        <w:tc>
          <w:tcPr>
            <w:tcW w:type="dxa" w:w="6624"/>
          </w:tcPr>
          <w:p>
            <w:r>
              <w:t>12,557 - refund complaint cases in January-June 2026</w:t>
            </w:r>
          </w:p>
        </w:tc>
        <w:tc>
          <w:tcPr>
            <w:tcW w:type="dxa" w:w="3312"/>
          </w:tcPr>
          <w:p>
            <w:r>
              <w:t>29.1% of all DOT cases</w:t>
            </w:r>
          </w:p>
        </w:tc>
      </w:tr>
      <w:tr>
        <w:tc>
          <w:tcPr>
            <w:tcW w:type="dxa" w:w="6624"/>
          </w:tcPr>
          <w:p>
            <w:r>
              <w:t>61.3% - travel-agent complaint cases whose primary reason was refund</w:t>
            </w:r>
          </w:p>
        </w:tc>
        <w:tc>
          <w:tcPr>
            <w:tcW w:type="dxa" w:w="3312"/>
          </w:tcPr>
          <w:p>
            <w:r>
              <w:t>1,314 of 2,142 DOT cases</w:t>
            </w:r>
          </w:p>
        </w:tc>
      </w:tr>
    </w:tbl>
    <w:p>
      <w:pPr>
        <w:pStyle w:val="Heading1"/>
      </w:pPr>
      <w:r>
        <w:t>What it does not support</w:t>
      </w:r>
    </w:p>
    <w:p>
      <w:pPr>
        <w:pStyle w:val="ListBullet"/>
      </w:pPr>
      <w:r>
        <w:t>The public datasets do not show whether travelers increasingly skip customer service and dispute as a first resort.</w:t>
      </w:r>
    </w:p>
    <w:p>
      <w:pPr>
        <w:pStyle w:val="ListBullet"/>
      </w:pPr>
      <w:r>
        <w:t>DOT complaint cases are not chargebacks and do not reveal issuer reason codes, evidence requests, duration, or outcomes.</w:t>
      </w:r>
    </w:p>
    <w:p>
      <w:pPr>
        <w:pStyle w:val="ListBullet"/>
      </w:pPr>
      <w:r>
        <w:t>The report has no traveler case studies, issuer files, merchant files, professional interviews, or loyalty-account retaliation cases.</w:t>
      </w:r>
    </w:p>
    <w:p>
      <w:pPr>
        <w:pStyle w:val="Heading1"/>
      </w:pPr>
      <w:r>
        <w:t>Federal billing-error timeline</w:t>
      </w:r>
    </w:p>
    <w:p>
      <w:r>
        <w:t>A written billing-error notice generally must reach the creditor within 60 days after the statement containing the alleged error. The creditor generally must acknowledge it within 30 days and resolve it within two complete billing cycles, no later than 90 days. Application depends on the facts; this is not legal advice.</w:t>
      </w:r>
    </w:p>
    <w:p>
      <w:pPr>
        <w:pStyle w:val="Heading1"/>
      </w:pPr>
      <w:r>
        <w:t>Airline refund path before a chargeback</w:t>
      </w:r>
    </w:p>
    <w:p>
      <w:r>
        <w:t>For covered U.S. air transportation, 14 CFR Part 260 requires a prompt automatic refund when a flight is cancelled or significantly delayed or changed and the consumer does not accept the changed flight, rebooking, voucher, credit, or other compensation. A prompt refund is generally seven business days for a credit-card purchase. The merchant of record shown on the card statement is responsible for the airfare refund when due.</w:t>
      </w:r>
    </w:p>
    <w:tbl>
      <w:tblPr>
        <w:tblStyle w:val="TableGrid"/>
        <w:tblW w:type="auto" w:w="0"/>
        <w:tblLook w:firstColumn="1" w:firstRow="1" w:lastColumn="0" w:lastRow="0" w:noHBand="0" w:noVBand="1" w:val="04A0"/>
      </w:tblPr>
      <w:tblGrid>
        <w:gridCol w:w="2664"/>
        <w:gridCol w:w="2664"/>
        <w:gridCol w:w="2664"/>
        <w:gridCol w:w="2664"/>
      </w:tblGrid>
      <w:tr>
        <w:trPr>
          <w:tblHeader w:val="true"/>
        </w:trPr>
        <w:tc>
          <w:tcPr>
            <w:tcW w:type="dxa" w:w="3312"/>
          </w:tcPr>
          <w:p>
            <w:r>
              <w:rPr>
                <w:b/>
              </w:rPr>
              <w:t>DOT organization type</w:t>
            </w:r>
          </w:p>
        </w:tc>
        <w:tc>
          <w:tcPr>
            <w:tcW w:type="dxa" w:w="2016"/>
          </w:tcPr>
          <w:p>
            <w:r>
              <w:rPr>
                <w:b/>
              </w:rPr>
              <w:t>Refund cases</w:t>
            </w:r>
          </w:p>
        </w:tc>
        <w:tc>
          <w:tcPr>
            <w:tcW w:type="dxa" w:w="2016"/>
          </w:tcPr>
          <w:p>
            <w:r>
              <w:rPr>
                <w:b/>
              </w:rPr>
              <w:t>Total cases</w:t>
            </w:r>
          </w:p>
        </w:tc>
        <w:tc>
          <w:tcPr>
            <w:tcW w:type="dxa" w:w="1872"/>
          </w:tcPr>
          <w:p>
            <w:r>
              <w:rPr>
                <w:b/>
              </w:rPr>
              <w:t>Refund share</w:t>
            </w:r>
          </w:p>
        </w:tc>
      </w:tr>
      <w:tr>
        <w:tc>
          <w:tcPr>
            <w:tcW w:type="dxa" w:w="3312"/>
          </w:tcPr>
          <w:p>
            <w:r>
              <w:t>U.S. airlines</w:t>
            </w:r>
          </w:p>
        </w:tc>
        <w:tc>
          <w:tcPr>
            <w:tcW w:type="dxa" w:w="2016"/>
          </w:tcPr>
          <w:p>
            <w:r>
              <w:t>7,308</w:t>
            </w:r>
          </w:p>
        </w:tc>
        <w:tc>
          <w:tcPr>
            <w:tcW w:type="dxa" w:w="2016"/>
          </w:tcPr>
          <w:p>
            <w:r>
              <w:t>29,000</w:t>
            </w:r>
          </w:p>
        </w:tc>
        <w:tc>
          <w:tcPr>
            <w:tcW w:type="dxa" w:w="1872"/>
          </w:tcPr>
          <w:p>
            <w:r>
              <w:t>25.2%</w:t>
            </w:r>
          </w:p>
        </w:tc>
      </w:tr>
      <w:tr>
        <w:tc>
          <w:tcPr>
            <w:tcW w:type="dxa" w:w="3312"/>
          </w:tcPr>
          <w:p>
            <w:r>
              <w:t>Foreign airlines</w:t>
            </w:r>
          </w:p>
        </w:tc>
        <w:tc>
          <w:tcPr>
            <w:tcW w:type="dxa" w:w="2016"/>
          </w:tcPr>
          <w:p>
            <w:r>
              <w:t>3,935</w:t>
            </w:r>
          </w:p>
        </w:tc>
        <w:tc>
          <w:tcPr>
            <w:tcW w:type="dxa" w:w="2016"/>
          </w:tcPr>
          <w:p>
            <w:r>
              <w:t>12,042</w:t>
            </w:r>
          </w:p>
        </w:tc>
        <w:tc>
          <w:tcPr>
            <w:tcW w:type="dxa" w:w="1872"/>
          </w:tcPr>
          <w:p>
            <w:r>
              <w:t>32.7%</w:t>
            </w:r>
          </w:p>
        </w:tc>
      </w:tr>
      <w:tr>
        <w:tc>
          <w:tcPr>
            <w:tcW w:type="dxa" w:w="3312"/>
          </w:tcPr>
          <w:p>
            <w:r>
              <w:t>Travel agents</w:t>
            </w:r>
          </w:p>
        </w:tc>
        <w:tc>
          <w:tcPr>
            <w:tcW w:type="dxa" w:w="2016"/>
          </w:tcPr>
          <w:p>
            <w:r>
              <w:t>1,314</w:t>
            </w:r>
          </w:p>
        </w:tc>
        <w:tc>
          <w:tcPr>
            <w:tcW w:type="dxa" w:w="2016"/>
          </w:tcPr>
          <w:p>
            <w:r>
              <w:t>2,142</w:t>
            </w:r>
          </w:p>
        </w:tc>
        <w:tc>
          <w:tcPr>
            <w:tcW w:type="dxa" w:w="1872"/>
          </w:tcPr>
          <w:p>
            <w:r>
              <w:t>61.3%</w:t>
            </w:r>
          </w:p>
        </w:tc>
      </w:tr>
    </w:tbl>
    <w:p>
      <w:pPr>
        <w:pStyle w:val="Heading1"/>
      </w:pPr>
      <w:r>
        <w:t>Source notes</w:t>
      </w:r>
    </w:p>
    <w:p>
      <w:pPr>
        <w:pStyle w:val="ListBullet"/>
      </w:pPr>
      <w:r>
        <w:t>CFPB, The Consumer Credit Card Market (2025): https://www.consumerfinance.gov/data-research/research-reports/the-consumer-credit-card-market-2025/</w:t>
      </w:r>
    </w:p>
    <w:p>
      <w:pPr>
        <w:pStyle w:val="ListBullet"/>
      </w:pPr>
      <w:r>
        <w:t>CFPB, Consumer Credit Card Market figure data (2025): https://files.consumerfinance.gov/f/documents/cfpb_consumer-credit-card-market-report-figure-data_2025.xlsm</w:t>
      </w:r>
    </w:p>
    <w:p>
      <w:pPr>
        <w:pStyle w:val="ListBullet"/>
      </w:pPr>
      <w:r>
        <w:t>U.S. DOT, August 2026 Air Travel Consumer Report: https://www.transportation.gov/sites/dot.gov/files/2026-08/August%202026%20ATCR.pdf</w:t>
      </w:r>
    </w:p>
    <w:p>
      <w:pPr>
        <w:pStyle w:val="ListBullet"/>
      </w:pPr>
      <w:r>
        <w:t>CFPB, How to fix mistakes in your credit card bill: https://www.consumerfinance.gov/consumer-tools/credit-cards/how-to-fix-mistakes-in-your-credit-card-bill/</w:t>
      </w:r>
    </w:p>
    <w:p>
      <w:pPr>
        <w:pStyle w:val="ListBullet"/>
      </w:pPr>
      <w:r>
        <w:t>12 CFR 1026.13, Billing error resolution: https://www.ecfr.gov/current/title-12/chapter-X/part-1026/subpart-B/section-1026.13</w:t>
      </w:r>
    </w:p>
    <w:p>
      <w:pPr>
        <w:pStyle w:val="ListBullet"/>
      </w:pPr>
      <w:r>
        <w:t>12 CFR 1026.12, Special credit card provisions: https://www.ecfr.gov/current/title-12/chapter-X/part-1026/subpart-B/section-1026.12</w:t>
      </w:r>
    </w:p>
    <w:p>
      <w:pPr>
        <w:pStyle w:val="ListBullet"/>
      </w:pPr>
      <w:r>
        <w:t>Mastercard-sponsored Datos Insights, 2025 State of Chargebacks: https://www.mastercard.com/content/dam/mccom/shared/news-and-trends/insights/2025/2025-global-chargebacks-outlook/pdf/2025-state-of-chargebacks-report.pdf</w:t>
      </w:r>
    </w:p>
    <w:p>
      <w:pPr>
        <w:pStyle w:val="ListBullet"/>
      </w:pPr>
      <w:r>
        <w:t>Visa, Dispute Management Guidelines for Visa Merchants: https://bd.visa.com/content/dam/VCOM/global/support-legal/documents/merchants-dispute-management-guidelines.pdf</w:t>
      </w:r>
    </w:p>
    <w:p>
      <w:pPr>
        <w:pStyle w:val="ListBullet"/>
      </w:pPr>
      <w:r>
        <w:t>U.S. DOT, Refunds: https://www.transportation.gov/individuals/aviation-consumer-protection/refunds</w:t>
      </w:r>
    </w:p>
    <w:p>
      <w:pPr>
        <w:pStyle w:val="ListBullet"/>
      </w:pPr>
      <w:r>
        <w:t>14 CFR Part 260, Refunds for Airline Fare and Ancillary Service Fees: https://www.ecfr.gov/current/title-14/chapter-II/subchapter-A/part-260</w:t>
      </w:r>
    </w:p>
    <w:p>
      <w:pPr>
        <w:pStyle w:val="Heading1"/>
      </w:pPr>
      <w:r>
        <w:t>Attribution</w:t>
      </w:r>
    </w:p>
    <w:p>
      <w:r>
        <w:t>Asim Ahmad - FinanceFirst Research</w:t>
      </w:r>
    </w:p>
    <w:p>
      <w:r>
        <w:t>Full report and downloads: https://financefirst.co/reports/travel-chargebacks-2026</w:t>
      </w:r>
    </w:p>
    <w:p>
      <w:r>
        <w:t>Review status: no legal-review or payments-industry-review badge or approval is claimed for version 1.1.</w:t>
      </w:r>
    </w:p>
    <w:sectPr w:rsidR="00FC693F" w:rsidRPr="0006063C" w:rsidSect="00034616">
      <w:headerReference w:type="default" r:id="rId9"/>
      <w:footerReference w:type="default" r:id="rId10"/>
      <w:pgSz w:w="12240" w:h="15840"/>
      <w:pgMar w:top="605" w:right="792" w:bottom="605"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FinanceFirst Research  •  https://financefirst.co/reports/travel-chargebacks-2026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sz w:val="16"/>
      </w:rPr>
      <w:t>FINANCEFIRST RESEARCH   |   TRAVEL CHARGEBACKS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26" w:lineRule="auto"/>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60"/>
      <w:outlineLvl w:val="0"/>
    </w:pPr>
    <w:rPr>
      <w:rFonts w:asciiTheme="majorHAnsi" w:eastAsiaTheme="majorEastAsia" w:hAnsiTheme="majorHAnsi" w:cstheme="majorBidi" w:ascii="Arial" w:hAnsi="Arial"/>
      <w:b/>
      <w:bCs/>
      <w:color w:val="1D4ED8"/>
      <w:sz w:val="26"/>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Arial" w:hAnsi="Arial"/>
      <w:b/>
      <w:bCs/>
      <w:color w:val="1D4ED8"/>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ascii="Arial" w:hAnsi="Arial"/>
      <w:b/>
      <w:color w:val="0F172A"/>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Chargebacks 2026 Journalist Fact Sheet</dc:title>
  <dc:subject>Travel chargebacks and air-travel refund complaints</dc:subject>
  <dc:creator>Asim Ahmad, FinanceFirst Research</dc:creator>
  <cp:keywords/>
  <dc:description>generated by python-docx</dc:description>
  <cp:lastModifiedBy/>
  <cp:revision>1</cp:revision>
  <dcterms:created xsi:type="dcterms:W3CDTF">2013-12-23T23:15:00Z</dcterms:created>
  <dcterms:modified xsi:type="dcterms:W3CDTF">2013-12-23T23:15:00Z</dcterms:modified>
  <cp:category/>
</cp:coreProperties>
</file>